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4B901509" w:rsidR="00CB2703" w:rsidRPr="00284DFB" w:rsidRDefault="00FC7AF6" w:rsidP="00284DFB">
      <w:pPr>
        <w:pStyle w:val="deksdatem"/>
      </w:pPr>
      <w:r w:rsidRPr="00284DFB">
        <w:t xml:space="preserve">Brno </w:t>
      </w:r>
      <w:r w:rsidR="008E4475">
        <w:t>23</w:t>
      </w:r>
      <w:r w:rsidR="003C3D19">
        <w:t>. l</w:t>
      </w:r>
      <w:r w:rsidR="00B910E8">
        <w:t>edna</w:t>
      </w:r>
      <w:r w:rsidR="003C3D19">
        <w:t xml:space="preserve"> 202</w:t>
      </w:r>
      <w:r w:rsidR="00B910E8">
        <w:t>3</w:t>
      </w:r>
    </w:p>
    <w:p w14:paraId="3D4F4958" w14:textId="16054386" w:rsidR="00CB2703" w:rsidRPr="00C858DC" w:rsidRDefault="007F4D5C" w:rsidP="00C858DC">
      <w:pPr>
        <w:pStyle w:val="paragraph"/>
        <w:jc w:val="center"/>
        <w:textAlignment w:val="baseline"/>
        <w:rPr>
          <w:rFonts w:ascii="Century Gothic" w:hAnsi="Century Gothic" w:cs="Arial"/>
          <w:b/>
          <w:bCs/>
        </w:rPr>
      </w:pPr>
      <w:r>
        <w:rPr>
          <w:rStyle w:val="spellingerror"/>
          <w:rFonts w:ascii="Century Gothic" w:hAnsi="Century Gothic" w:cs="Arial"/>
          <w:b/>
          <w:bCs/>
        </w:rPr>
        <w:t>T</w:t>
      </w:r>
      <w:r w:rsidR="00476551">
        <w:rPr>
          <w:rStyle w:val="spellingerror"/>
          <w:rFonts w:ascii="Century Gothic" w:hAnsi="Century Gothic" w:cs="Arial"/>
          <w:b/>
          <w:bCs/>
        </w:rPr>
        <w:t>rendy</w:t>
      </w:r>
      <w:r>
        <w:rPr>
          <w:rStyle w:val="spellingerror"/>
          <w:rFonts w:ascii="Century Gothic" w:hAnsi="Century Gothic" w:cs="Arial"/>
          <w:b/>
          <w:bCs/>
        </w:rPr>
        <w:t>, které ovlivn</w:t>
      </w:r>
      <w:r w:rsidR="00193C92">
        <w:rPr>
          <w:rStyle w:val="spellingerror"/>
          <w:rFonts w:ascii="Century Gothic" w:hAnsi="Century Gothic" w:cs="Arial"/>
          <w:b/>
          <w:bCs/>
        </w:rPr>
        <w:t>í</w:t>
      </w:r>
      <w:r>
        <w:rPr>
          <w:rStyle w:val="spellingerror"/>
          <w:rFonts w:ascii="Century Gothic" w:hAnsi="Century Gothic" w:cs="Arial"/>
          <w:b/>
          <w:bCs/>
        </w:rPr>
        <w:t xml:space="preserve"> podnikové systémy v roce 2023</w:t>
      </w:r>
      <w:r w:rsidR="00220161">
        <w:rPr>
          <w:rStyle w:val="spellingerror"/>
          <w:rFonts w:ascii="Century Gothic" w:hAnsi="Century Gothic" w:cs="Arial"/>
          <w:b/>
          <w:bCs/>
        </w:rPr>
        <w:t>: Rozvoj umělé inteligence</w:t>
      </w:r>
      <w:r w:rsidR="00573C40">
        <w:rPr>
          <w:rStyle w:val="spellingerror"/>
          <w:rFonts w:ascii="Century Gothic" w:hAnsi="Century Gothic" w:cs="Arial"/>
          <w:b/>
          <w:bCs/>
        </w:rPr>
        <w:t xml:space="preserve"> bude masivní</w:t>
      </w:r>
    </w:p>
    <w:p w14:paraId="28D6EF87" w14:textId="258B09E3" w:rsidR="00C858DC" w:rsidRPr="00902295" w:rsidRDefault="00B910E8" w:rsidP="00C858DC">
      <w:pPr>
        <w:jc w:val="both"/>
        <w:rPr>
          <w:b/>
          <w:bCs/>
          <w:color w:val="000000" w:themeColor="text1"/>
        </w:rPr>
      </w:pPr>
      <w:r w:rsidRPr="00902295">
        <w:rPr>
          <w:b/>
          <w:bCs/>
          <w:color w:val="000000" w:themeColor="text1"/>
        </w:rPr>
        <w:t>Podle Světového ekonomického fóra nahradí do roku 2025 stroje 80</w:t>
      </w:r>
      <w:r w:rsidR="004B3968">
        <w:rPr>
          <w:b/>
          <w:bCs/>
          <w:color w:val="000000" w:themeColor="text1"/>
        </w:rPr>
        <w:t> </w:t>
      </w:r>
      <w:r w:rsidRPr="00902295">
        <w:rPr>
          <w:b/>
          <w:bCs/>
          <w:color w:val="000000" w:themeColor="text1"/>
        </w:rPr>
        <w:t>milionů pracovních míst a v IT průmyslu vznikne přibližně 100</w:t>
      </w:r>
      <w:r w:rsidR="004B3968">
        <w:rPr>
          <w:b/>
          <w:bCs/>
          <w:color w:val="000000" w:themeColor="text1"/>
        </w:rPr>
        <w:t> </w:t>
      </w:r>
      <w:r w:rsidRPr="00902295">
        <w:rPr>
          <w:b/>
          <w:bCs/>
          <w:color w:val="000000" w:themeColor="text1"/>
        </w:rPr>
        <w:t>milionů nových pracovních míst, kde budou potřeba lidé s těmito dovednostmi. Pokrok není potřeba zastavovat, naopak je důležité reagovat a nové možnosti efektivně využít. V podnikovém prostředí získávají čím dál tím větší prostor technologie jako cloudy, umělá inteligence nebo low-code. Ale i další.</w:t>
      </w:r>
    </w:p>
    <w:p w14:paraId="2A5D9668" w14:textId="41D4B334" w:rsidR="00B910E8" w:rsidRDefault="00C858DC" w:rsidP="00B910E8">
      <w:pPr>
        <w:jc w:val="both"/>
      </w:pPr>
      <w:r w:rsidRPr="00B910E8">
        <w:rPr>
          <w:i/>
          <w:iCs/>
        </w:rPr>
        <w:t>„</w:t>
      </w:r>
      <w:r w:rsidR="00B910E8" w:rsidRPr="00B910E8">
        <w:rPr>
          <w:i/>
          <w:iCs/>
        </w:rPr>
        <w:t>Dnešní společnost klade velký důraz na efektivitu, což urychluje vývoj IT technologií, zejména v</w:t>
      </w:r>
      <w:r w:rsidR="00B910E8" w:rsidRPr="00B910E8">
        <w:rPr>
          <w:rFonts w:ascii="Arial" w:hAnsi="Arial" w:cs="Arial"/>
          <w:i/>
          <w:iCs/>
        </w:rPr>
        <w:t> </w:t>
      </w:r>
      <w:r w:rsidR="00B910E8" w:rsidRPr="00B910E8">
        <w:rPr>
          <w:i/>
          <w:iCs/>
        </w:rPr>
        <w:t>oblasti BI (business inteligence) a AI (umělé inteligence),“</w:t>
      </w:r>
      <w:r w:rsidR="00B910E8">
        <w:t xml:space="preserve"> říká CEO společnosti Seyfor Martin Cígler a dodává: </w:t>
      </w:r>
      <w:r w:rsidR="00B910E8" w:rsidRPr="00B910E8">
        <w:rPr>
          <w:i/>
          <w:iCs/>
        </w:rPr>
        <w:t>„V tomto roce, stejně jako v těch následujících, tak předpokládám další výrazný posun směrem ke cloudu, masivní rozvoj umělé inteligence i v</w:t>
      </w:r>
      <w:r w:rsidR="00B910E8" w:rsidRPr="00B910E8">
        <w:rPr>
          <w:rFonts w:ascii="Arial" w:hAnsi="Arial" w:cs="Arial"/>
          <w:i/>
          <w:iCs/>
        </w:rPr>
        <w:t> </w:t>
      </w:r>
      <w:r w:rsidR="00B910E8" w:rsidRPr="00B910E8">
        <w:rPr>
          <w:i/>
          <w:iCs/>
        </w:rPr>
        <w:t>aplikacích, pro které byla AI dosud příliš drahá</w:t>
      </w:r>
      <w:r w:rsidR="008C79D8">
        <w:rPr>
          <w:i/>
          <w:iCs/>
        </w:rPr>
        <w:t>,</w:t>
      </w:r>
      <w:r w:rsidR="00B910E8" w:rsidRPr="00B910E8">
        <w:rPr>
          <w:i/>
          <w:iCs/>
        </w:rPr>
        <w:t xml:space="preserve"> a</w:t>
      </w:r>
      <w:r w:rsidR="006F58A2">
        <w:rPr>
          <w:i/>
          <w:iCs/>
        </w:rPr>
        <w:t>,</w:t>
      </w:r>
      <w:r w:rsidR="00B910E8" w:rsidRPr="00B910E8">
        <w:rPr>
          <w:i/>
          <w:iCs/>
        </w:rPr>
        <w:t xml:space="preserve"> i díky cloudu, rozvoj business inteligence, data miningu, praktického užití IoT (Internet of Things).“</w:t>
      </w:r>
      <w:r w:rsidR="00B910E8">
        <w:t xml:space="preserve"> Kde a kdy ale takové technologie využít?</w:t>
      </w:r>
    </w:p>
    <w:p w14:paraId="635FE2FB" w14:textId="77777777" w:rsidR="00B910E8" w:rsidRPr="00B910E8" w:rsidRDefault="00B910E8" w:rsidP="00B910E8">
      <w:pPr>
        <w:jc w:val="both"/>
        <w:rPr>
          <w:b/>
          <w:bCs/>
        </w:rPr>
      </w:pPr>
      <w:r w:rsidRPr="00B910E8">
        <w:rPr>
          <w:b/>
          <w:bCs/>
        </w:rPr>
        <w:t>Cloudy snižují riziko i náklady</w:t>
      </w:r>
    </w:p>
    <w:p w14:paraId="6826C53D" w14:textId="5D33FE8D" w:rsidR="00B910E8" w:rsidRDefault="00B910E8" w:rsidP="00B910E8">
      <w:pPr>
        <w:jc w:val="both"/>
      </w:pPr>
      <w:r>
        <w:t xml:space="preserve">Zmíněné využívání cloudových technologií je na vzestupu, a to z dobrého důvodu. Cloud computing umožňuje ukládání a přístup k datům a aplikacím přes internet, nikoli na místním počítači nebo serveru. To může zlepšit efektivitu jako například při snížení potřeby fyzické infrastruktury. Údržba serverů a datových center může být velmi nákladná </w:t>
      </w:r>
      <w:r w:rsidR="000A211D">
        <w:br/>
      </w:r>
      <w:r>
        <w:t>a provoz lze zvyšovat či snižovat dle reálné potřeby.</w:t>
      </w:r>
    </w:p>
    <w:p w14:paraId="186BAFFC" w14:textId="0F69C88A" w:rsidR="00B910E8" w:rsidRDefault="00B910E8" w:rsidP="00B910E8">
      <w:pPr>
        <w:jc w:val="both"/>
      </w:pPr>
      <w:r>
        <w:t>Dalším důvodem, proč společnosti využívají cloud, je vyšší spolehlivost a dostupnost. Poskytovatelé cloudu mají obvykle více datových center umístěných v různých regionech, což může pomoci zajistit dostupnost jejich služeb i v případě, že jedno datové centrum vypadne z provozu v důsledku přírodní katastrofy nebo jiné události.</w:t>
      </w:r>
    </w:p>
    <w:p w14:paraId="764B0260" w14:textId="77777777" w:rsidR="00B910E8" w:rsidRPr="00B910E8" w:rsidRDefault="00B910E8" w:rsidP="00B910E8">
      <w:pPr>
        <w:jc w:val="both"/>
        <w:rPr>
          <w:b/>
          <w:bCs/>
        </w:rPr>
      </w:pPr>
      <w:r w:rsidRPr="00B910E8">
        <w:rPr>
          <w:b/>
          <w:bCs/>
        </w:rPr>
        <w:t>Předvídání budoucnosti</w:t>
      </w:r>
    </w:p>
    <w:p w14:paraId="4591A8BD" w14:textId="1E63FDF4" w:rsidR="00B910E8" w:rsidRDefault="00B910E8" w:rsidP="00B910E8">
      <w:pPr>
        <w:jc w:val="both"/>
      </w:pPr>
      <w:r>
        <w:lastRenderedPageBreak/>
        <w:t xml:space="preserve">Umělá inteligence proniká do stále více odvětví a IT není výjimkou. Umělou inteligenci lze využít ke zlepšení celé řady procesů, jako je analýza dat, zákaznický servis, a dokonce </w:t>
      </w:r>
      <w:r w:rsidR="00EA4220">
        <w:br/>
      </w:r>
      <w:r>
        <w:t>i kybernetická bezpečnost. S tím, jak bude AI stále pokročilejší, bude i nadále hrát v IT průmyslu významnou roli. Vedle snížení nákladů díky automatizaci nabízí AI výraznou pomoc při personalizaci (například v cílení marketingových kampaní) nebo při samotné identifikaci trendů a vzorců.</w:t>
      </w:r>
    </w:p>
    <w:p w14:paraId="144A17F6" w14:textId="17EBB852" w:rsidR="00B910E8" w:rsidRDefault="00B910E8" w:rsidP="00B910E8">
      <w:pPr>
        <w:jc w:val="both"/>
      </w:pPr>
      <w:r>
        <w:t>Algoritmy umělé inteligence lze použít také k rychlé a přesné analýze velkého množství dat, což malým společnostem uvolní čas a zdroje. Nebo si mohou jednotlivci pomoc</w:t>
      </w:r>
      <w:r w:rsidR="00CD67D1">
        <w:t>i</w:t>
      </w:r>
      <w:r>
        <w:t xml:space="preserve"> </w:t>
      </w:r>
      <w:r w:rsidR="00EA4220">
        <w:br/>
      </w:r>
      <w:r>
        <w:t xml:space="preserve">k předvídání budoucích trendů a vzorců v datech, což pomáhá při plánování </w:t>
      </w:r>
      <w:r w:rsidR="00EA4220">
        <w:br/>
      </w:r>
      <w:r>
        <w:t>a přípravách na budoucí události, inovace nebo větší přestavby.</w:t>
      </w:r>
    </w:p>
    <w:p w14:paraId="7985FC1A" w14:textId="77777777" w:rsidR="00B910E8" w:rsidRPr="00B910E8" w:rsidRDefault="00B910E8" w:rsidP="00B910E8">
      <w:pPr>
        <w:jc w:val="both"/>
        <w:rPr>
          <w:b/>
          <w:bCs/>
        </w:rPr>
      </w:pPr>
      <w:r w:rsidRPr="00B910E8">
        <w:rPr>
          <w:b/>
          <w:bCs/>
        </w:rPr>
        <w:t>Sledování, správa i redukce</w:t>
      </w:r>
    </w:p>
    <w:p w14:paraId="49034BEB" w14:textId="65275051" w:rsidR="00B910E8" w:rsidRDefault="00B910E8" w:rsidP="00B910E8">
      <w:pPr>
        <w:jc w:val="both"/>
      </w:pPr>
      <w:r>
        <w:t>Velkou věcí, kterou se zabývá čím dál tím více společností</w:t>
      </w:r>
      <w:r w:rsidR="00C83CAA">
        <w:t>,</w:t>
      </w:r>
      <w:r>
        <w:t xml:space="preserve"> je Internet věcí (IoT), </w:t>
      </w:r>
      <w:r w:rsidR="00575776">
        <w:t xml:space="preserve">což je </w:t>
      </w:r>
      <w:r>
        <w:t>označ</w:t>
      </w:r>
      <w:r w:rsidR="00575776">
        <w:t>ení</w:t>
      </w:r>
      <w:r>
        <w:t xml:space="preserve"> rostoucí sí</w:t>
      </w:r>
      <w:r w:rsidR="00575776">
        <w:t>tě</w:t>
      </w:r>
      <w:r>
        <w:t xml:space="preserve"> zařízení připojených k internetu, která spolu mohou komunikovat </w:t>
      </w:r>
      <w:r w:rsidR="00EA4220">
        <w:br/>
      </w:r>
      <w:r>
        <w:t xml:space="preserve">a vyměňovat si data. </w:t>
      </w:r>
      <w:r w:rsidRPr="00214980">
        <w:rPr>
          <w:i/>
          <w:iCs/>
        </w:rPr>
        <w:t>„Internet věcí bude hrát čím dál větší roli s pokračující ekologickou krizí. Umožní například vznik nových inteligentních budov. K dispozici tak snad brzy budeme mít nejmodernější (nejen) kancelářské prostory, které budou uživatelsky komfortní, ale zejména provozně efektivní a nákladově úsporné,“</w:t>
      </w:r>
      <w:r>
        <w:t xml:space="preserve"> říká Martin Cígler.</w:t>
      </w:r>
    </w:p>
    <w:p w14:paraId="55875378" w14:textId="3041155C" w:rsidR="00B910E8" w:rsidRDefault="00B910E8" w:rsidP="00B910E8">
      <w:pPr>
        <w:jc w:val="both"/>
      </w:pPr>
      <w:r>
        <w:t xml:space="preserve">Toto propojení ale začíná u jednoduchých systémů, jako jsou například chytré termostaty. Samozřejmě s přibývajícím počtem propojených zařízení se zvyšuje potenciál pro sběr a analýzu dat, což může vést k efektivnějším procesům a lepšímu rozhodování. A použití se neomezuje pouze na správu budov, efektivní využití </w:t>
      </w:r>
      <w:r w:rsidR="00C62E70">
        <w:t xml:space="preserve">IoT </w:t>
      </w:r>
      <w:r>
        <w:t>je patrné i ve zdravotnictví, kdy mohou lékaři konstant</w:t>
      </w:r>
      <w:r w:rsidR="00963F15">
        <w:t>n</w:t>
      </w:r>
      <w:r>
        <w:t>ě sledovat pacienty. Nebo v zemědělství, kdy se budou senzory Internetu věcí používat k optimalizaci produkce plodin a ke zlepšení hospodaření s vodou a zdroji.</w:t>
      </w:r>
    </w:p>
    <w:p w14:paraId="439A025A" w14:textId="77777777" w:rsidR="00B910E8" w:rsidRPr="00B910E8" w:rsidRDefault="00B910E8" w:rsidP="00B910E8">
      <w:pPr>
        <w:jc w:val="both"/>
        <w:rPr>
          <w:b/>
          <w:bCs/>
        </w:rPr>
      </w:pPr>
      <w:r w:rsidRPr="00B910E8">
        <w:rPr>
          <w:b/>
          <w:bCs/>
        </w:rPr>
        <w:t>Existující informace přetvořené na nové</w:t>
      </w:r>
    </w:p>
    <w:p w14:paraId="22A56064" w14:textId="4BDD2D68" w:rsidR="00B910E8" w:rsidRDefault="00B910E8" w:rsidP="00B910E8">
      <w:pPr>
        <w:jc w:val="both"/>
      </w:pPr>
      <w:r>
        <w:t xml:space="preserve">V neposlední řadě se v podnicích stále častěji využívá koncept low-code. </w:t>
      </w:r>
      <w:r w:rsidR="00423980">
        <w:t>K</w:t>
      </w:r>
      <w:r>
        <w:t xml:space="preserve">dyž se před devíti lety objevil poprvé, svět informačních a komunikačních technologií se posunul </w:t>
      </w:r>
      <w:r>
        <w:lastRenderedPageBreak/>
        <w:t xml:space="preserve">dopředu mílovými kroky. Trh se za dekádu rozrostl a vývoj aplikací bude už brzy </w:t>
      </w:r>
      <w:r w:rsidR="00480CD5">
        <w:br/>
      </w:r>
      <w:r>
        <w:t xml:space="preserve">z většiny probíhat právě na platformách s low-code. Ty dokážou ušetřit čas, snížit náklady a zlepšit způsob nakládání se zastaralými nebo nevýhodnými technologiemi. </w:t>
      </w:r>
    </w:p>
    <w:p w14:paraId="75C84E37" w14:textId="7F23D774" w:rsidR="00B910E8" w:rsidRDefault="00B910E8" w:rsidP="00C858DC">
      <w:pPr>
        <w:jc w:val="both"/>
      </w:pPr>
      <w:r>
        <w:t>Tím nabídnou zcela agilní vývoj, přitom není potřeba zkušených seniorních programátorů, naopak je dán prostor pro modeláře s určitým know-how nab</w:t>
      </w:r>
      <w:r w:rsidR="004E6F91">
        <w:t>y</w:t>
      </w:r>
      <w:r>
        <w:t>tým během relativně krátkého času. Mohou tak udělat víc práce, zvýšit množství vyvíjených aplikací, snížit opakování některých procesů, flexibilně reagovat na potřeby trhu a v konečném důsledku snížit náklady. Samozřejmě low-code se nevyplácí aplikovat za každou cenu, ale třeba pro tvorbu podnikových aplikací, jako jsou systémy pro řízení pracovních postupů a řízení vztahů se zákazníky, se hodí výtečně.</w:t>
      </w:r>
    </w:p>
    <w:p w14:paraId="55B1D7DB" w14:textId="63ACC32C" w:rsidR="00C858DC" w:rsidRPr="00B910E8" w:rsidRDefault="00C858DC" w:rsidP="00C858DC">
      <w:pPr>
        <w:jc w:val="both"/>
      </w:pPr>
      <w:r w:rsidRPr="00C858DC">
        <w:rPr>
          <w:b/>
          <w:bCs/>
        </w:rPr>
        <w:t xml:space="preserve">O společnosti Seyfor  </w:t>
      </w:r>
    </w:p>
    <w:p w14:paraId="46132DF9" w14:textId="22AF66DB" w:rsidR="00C858DC" w:rsidRDefault="00C858DC" w:rsidP="00C858DC">
      <w:pPr>
        <w:jc w:val="both"/>
      </w:pPr>
      <w:r>
        <w:t>Seyfor se řadí k velkým evropským dodavatelům ICT řešení. Společnost má přes</w:t>
      </w:r>
      <w:r w:rsidR="000D0D22">
        <w:t xml:space="preserve"> </w:t>
      </w:r>
      <w:r>
        <w:t>1</w:t>
      </w:r>
      <w:r w:rsidR="003C3D19">
        <w:t> </w:t>
      </w:r>
      <w:r>
        <w:t>600</w:t>
      </w:r>
      <w:r w:rsidR="003C3D19">
        <w:t> </w:t>
      </w:r>
      <w:r>
        <w:t>zaměstnanců v osmi zemích a celosvětově obsluhuje zákazníky ve 38</w:t>
      </w:r>
      <w:r w:rsidR="00121798">
        <w:t> </w:t>
      </w:r>
      <w:r>
        <w:t>státech. Dlouhodobě patří k nejrychleji rostoucím IT společnostem v regionu. Je největším výrobcem účetních, ERP a mzdových a personálních systémů v České republice, v roce 2022 očekává konsolidované výnosy okolo 130</w:t>
      </w:r>
      <w:r w:rsidR="00121798">
        <w:t> </w:t>
      </w:r>
      <w:r>
        <w:t>milionů eur. Společnost uskutečnila v</w:t>
      </w:r>
      <w:r w:rsidR="003C3D19">
        <w:t> </w:t>
      </w:r>
      <w:r>
        <w:t>posledních letech desítky významných akvizic IT firem v České i Slovenské republice a</w:t>
      </w:r>
      <w:r w:rsidR="003C3D19">
        <w:t> </w:t>
      </w:r>
      <w:r>
        <w:t>také na Balkáně. Ovládajícími vlastníky společnosti jsou slovenská private equity společnost Sandberg Capital a Martin Cígler. Firma byla založena v roce 1990 jako Cígler Software, v letech 2017–2022 působila pod značkou Solitea.</w:t>
      </w:r>
    </w:p>
    <w:p w14:paraId="719EA2BA" w14:textId="77777777" w:rsidR="00972872" w:rsidRDefault="00C858DC" w:rsidP="00C858DC">
      <w:pPr>
        <w:spacing w:line="240" w:lineRule="atLeast"/>
        <w:rPr>
          <w:b/>
          <w:bCs/>
        </w:rPr>
      </w:pPr>
      <w:r w:rsidRPr="00C858DC">
        <w:rPr>
          <w:b/>
          <w:bCs/>
        </w:rPr>
        <w:t xml:space="preserve">Kontakt pro média: </w:t>
      </w:r>
    </w:p>
    <w:p w14:paraId="727A479C" w14:textId="0397CCF6" w:rsidR="00056067" w:rsidRPr="00C858DC" w:rsidRDefault="00C858DC" w:rsidP="00C858DC">
      <w:pPr>
        <w:spacing w:line="240" w:lineRule="atLeast"/>
        <w:rPr>
          <w:b/>
          <w:bCs/>
        </w:rPr>
      </w:pPr>
      <w:r>
        <w:t>Havas PR Prague</w:t>
      </w:r>
      <w:r>
        <w:rPr>
          <w:b/>
          <w:bCs/>
        </w:rPr>
        <w:t xml:space="preserve">, </w:t>
      </w:r>
      <w:r w:rsidR="00005B00">
        <w:t>Petr</w:t>
      </w:r>
      <w:r>
        <w:t xml:space="preserve"> </w:t>
      </w:r>
      <w:r w:rsidR="00005B00">
        <w:t>Kubíček</w:t>
      </w:r>
      <w:r>
        <w:t xml:space="preserve">, </w:t>
      </w:r>
      <w:r w:rsidR="00005B00">
        <w:t>petr</w:t>
      </w:r>
      <w:r>
        <w:t>.</w:t>
      </w:r>
      <w:r w:rsidR="00005B00">
        <w:t>kubicek</w:t>
      </w:r>
      <w:r>
        <w:t>@havaspr.com</w:t>
      </w:r>
      <w:r>
        <w:rPr>
          <w:b/>
          <w:bCs/>
        </w:rPr>
        <w:t xml:space="preserve">, </w:t>
      </w:r>
      <w:r>
        <w:t xml:space="preserve">+420 </w:t>
      </w:r>
      <w:r w:rsidR="00005B00">
        <w:t>602</w:t>
      </w:r>
      <w:r>
        <w:t xml:space="preserve"> </w:t>
      </w:r>
      <w:r w:rsidR="00005B00">
        <w:t>388</w:t>
      </w:r>
      <w:r>
        <w:t xml:space="preserve"> </w:t>
      </w:r>
      <w:r w:rsidR="00005B00">
        <w:t>970</w:t>
      </w:r>
    </w:p>
    <w:sectPr w:rsidR="00056067" w:rsidRPr="00C858DC" w:rsidSect="00486B0B">
      <w:headerReference w:type="default" r:id="rId10"/>
      <w:footerReference w:type="default" r:id="rId11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C5153" w14:textId="77777777" w:rsidR="009871F9" w:rsidRDefault="009871F9" w:rsidP="00F827BA">
      <w:pPr>
        <w:spacing w:after="0" w:line="240" w:lineRule="auto"/>
      </w:pPr>
      <w:r>
        <w:separator/>
      </w:r>
    </w:p>
  </w:endnote>
  <w:endnote w:type="continuationSeparator" w:id="0">
    <w:p w14:paraId="43B64F9C" w14:textId="77777777" w:rsidR="009871F9" w:rsidRDefault="009871F9" w:rsidP="00F8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charset w:val="00"/>
    <w:family w:val="moder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7A55E3D9" w:rsidR="00411863" w:rsidRPr="00BC0EF1" w:rsidRDefault="00680F8B" w:rsidP="00056067">
    <w:pPr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F4CBA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7.05pt;margin-top:-27.75pt;width:168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iEnDgIAAPc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ECI081NEdiCmFSIv0cOnSAvzkbSIUV97/2AhVn5pMltm+KxSLKNhmL5TuihuGlp770CCsJ&#10;quKBs+m4CUnqiQd3R1PZ6sTXcyWnWkldicbTT4jyvbRT1PN/Xf8BAAD//wMAUEsDBBQABgAIAAAA&#10;IQAzThjR3wAAAAsBAAAPAAAAZHJzL2Rvd25yZXYueG1sTI/LTsMwEEX3SPyDNUjsWidtU1CIU1VU&#10;bFggUZBg6caTOMIv2W4a/p5hBbsZzdGdc5vdbA2bMKbROwHlsgCGrvNqdIOA97enxT2wlKVT0niH&#10;Ar4xwa69vmpkrfzFveJ0zAOjEJdqKUDnHGrOU6fRyrT0AR3deh+tzLTGgasoLxRuDV8VxZZbOTr6&#10;oGXAR43d1/FsBXxYPapDfPnslZkOz/2+CnMMQtzezPsHYBnn/AfDrz6pQ0tOJ392KjEjYFFuSkJp&#10;qKoKGBHr1XoD7ETotroD3jb8f4f2BwAA//8DAFBLAQItABQABgAIAAAAIQC2gziS/gAAAOEBAAAT&#10;AAAAAAAAAAAAAAAAAAAAAABbQ29udGVudF9UeXBlc10ueG1sUEsBAi0AFAAGAAgAAAAhADj9If/W&#10;AAAAlAEAAAsAAAAAAAAAAAAAAAAALwEAAF9yZWxzLy5yZWxzUEsBAi0AFAAGAAgAAAAhAED+IScO&#10;AgAA9wMAAA4AAAAAAAAAAAAAAAAALgIAAGRycy9lMm9Eb2MueG1sUEsBAi0AFAAGAAgAAAAhADNO&#10;GNHfAAAACwEAAA8AAAAAAAAAAAAAAAAAaAQAAGRycy9kb3ducmV2LnhtbFBLBQYAAAAABAAEAPMA&#10;AAB0BQAAAAA=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r w:rsidR="00BD57B0">
          <w:fldChar w:fldCharType="begin"/>
        </w:r>
        <w:r w:rsidR="00BD57B0">
          <w:instrText xml:space="preserve"> SECTIONPAGES  \* Arabic  \* MERGEFORMAT </w:instrText>
        </w:r>
        <w:r w:rsidR="00BD57B0">
          <w:fldChar w:fldCharType="separate"/>
        </w:r>
        <w:r w:rsidR="00BD57B0">
          <w:rPr>
            <w:noProof/>
          </w:rPr>
          <w:t>3</w:t>
        </w:r>
        <w:r w:rsidR="00BD57B0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2D5C7" w14:textId="77777777" w:rsidR="009871F9" w:rsidRDefault="009871F9" w:rsidP="00F827BA">
      <w:pPr>
        <w:spacing w:after="0" w:line="240" w:lineRule="auto"/>
      </w:pPr>
      <w:r>
        <w:separator/>
      </w:r>
    </w:p>
  </w:footnote>
  <w:footnote w:type="continuationSeparator" w:id="0">
    <w:p w14:paraId="5DCE206F" w14:textId="77777777" w:rsidR="009871F9" w:rsidRDefault="009871F9" w:rsidP="00F82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Zhlav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B00"/>
    <w:rsid w:val="00007715"/>
    <w:rsid w:val="00012C3F"/>
    <w:rsid w:val="00056067"/>
    <w:rsid w:val="00061250"/>
    <w:rsid w:val="000624E6"/>
    <w:rsid w:val="0008749A"/>
    <w:rsid w:val="000A211D"/>
    <w:rsid w:val="000B40CD"/>
    <w:rsid w:val="000D0D22"/>
    <w:rsid w:val="00121798"/>
    <w:rsid w:val="00154DEE"/>
    <w:rsid w:val="00183878"/>
    <w:rsid w:val="00193C92"/>
    <w:rsid w:val="001D40A9"/>
    <w:rsid w:val="002031F4"/>
    <w:rsid w:val="00206596"/>
    <w:rsid w:val="00214980"/>
    <w:rsid w:val="00220161"/>
    <w:rsid w:val="00222058"/>
    <w:rsid w:val="0027213D"/>
    <w:rsid w:val="00272D50"/>
    <w:rsid w:val="00283950"/>
    <w:rsid w:val="00284DFB"/>
    <w:rsid w:val="003105D1"/>
    <w:rsid w:val="003A6BA6"/>
    <w:rsid w:val="003B6898"/>
    <w:rsid w:val="003C3D19"/>
    <w:rsid w:val="00411863"/>
    <w:rsid w:val="00414D31"/>
    <w:rsid w:val="00423980"/>
    <w:rsid w:val="004343AF"/>
    <w:rsid w:val="00476551"/>
    <w:rsid w:val="00480CD5"/>
    <w:rsid w:val="00486B0B"/>
    <w:rsid w:val="00495DC8"/>
    <w:rsid w:val="004A2596"/>
    <w:rsid w:val="004A3B24"/>
    <w:rsid w:val="004B3968"/>
    <w:rsid w:val="004D27AE"/>
    <w:rsid w:val="004D6EFD"/>
    <w:rsid w:val="004E64DE"/>
    <w:rsid w:val="004E6F91"/>
    <w:rsid w:val="0051297E"/>
    <w:rsid w:val="00543A71"/>
    <w:rsid w:val="005627C8"/>
    <w:rsid w:val="0057093D"/>
    <w:rsid w:val="00573C40"/>
    <w:rsid w:val="00575776"/>
    <w:rsid w:val="00623388"/>
    <w:rsid w:val="00634E77"/>
    <w:rsid w:val="0067506E"/>
    <w:rsid w:val="00680F8B"/>
    <w:rsid w:val="006E111F"/>
    <w:rsid w:val="006F58A2"/>
    <w:rsid w:val="00700EDA"/>
    <w:rsid w:val="00761E49"/>
    <w:rsid w:val="007A7695"/>
    <w:rsid w:val="007E24E2"/>
    <w:rsid w:val="007E2E32"/>
    <w:rsid w:val="007F1EC9"/>
    <w:rsid w:val="007F38A3"/>
    <w:rsid w:val="007F4D5C"/>
    <w:rsid w:val="008032F2"/>
    <w:rsid w:val="008219DD"/>
    <w:rsid w:val="00825B7F"/>
    <w:rsid w:val="0083758B"/>
    <w:rsid w:val="00866BB2"/>
    <w:rsid w:val="008C79D8"/>
    <w:rsid w:val="008D7B28"/>
    <w:rsid w:val="008E26E3"/>
    <w:rsid w:val="008E4475"/>
    <w:rsid w:val="00902295"/>
    <w:rsid w:val="00942019"/>
    <w:rsid w:val="00947C5B"/>
    <w:rsid w:val="00963F15"/>
    <w:rsid w:val="00972872"/>
    <w:rsid w:val="0097512E"/>
    <w:rsid w:val="009871F9"/>
    <w:rsid w:val="009D00DE"/>
    <w:rsid w:val="00A03AF1"/>
    <w:rsid w:val="00A1395A"/>
    <w:rsid w:val="00A37BA0"/>
    <w:rsid w:val="00A449F3"/>
    <w:rsid w:val="00A63AD0"/>
    <w:rsid w:val="00AD37E3"/>
    <w:rsid w:val="00AD5E19"/>
    <w:rsid w:val="00AF57E7"/>
    <w:rsid w:val="00B270EF"/>
    <w:rsid w:val="00B631E9"/>
    <w:rsid w:val="00B73442"/>
    <w:rsid w:val="00B910E8"/>
    <w:rsid w:val="00BB0332"/>
    <w:rsid w:val="00BB3536"/>
    <w:rsid w:val="00BC0EF1"/>
    <w:rsid w:val="00BD57B0"/>
    <w:rsid w:val="00C0172E"/>
    <w:rsid w:val="00C1545D"/>
    <w:rsid w:val="00C2567C"/>
    <w:rsid w:val="00C62E70"/>
    <w:rsid w:val="00C83CAA"/>
    <w:rsid w:val="00C858DC"/>
    <w:rsid w:val="00CB2703"/>
    <w:rsid w:val="00CB49D8"/>
    <w:rsid w:val="00CD67D1"/>
    <w:rsid w:val="00CF19C5"/>
    <w:rsid w:val="00CF28F7"/>
    <w:rsid w:val="00D30A83"/>
    <w:rsid w:val="00D530FF"/>
    <w:rsid w:val="00E50A7E"/>
    <w:rsid w:val="00E57617"/>
    <w:rsid w:val="00E92D07"/>
    <w:rsid w:val="00EA4220"/>
    <w:rsid w:val="00EB18FD"/>
    <w:rsid w:val="00EB1E9F"/>
    <w:rsid w:val="00EE5A95"/>
    <w:rsid w:val="00F23B04"/>
    <w:rsid w:val="00F449E9"/>
    <w:rsid w:val="00F827BA"/>
    <w:rsid w:val="00F9178C"/>
    <w:rsid w:val="00FC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2AA09803-07B3-44EF-9445-9D5E09F8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ksdatem">
    <w:name w:val="Řádek s datem"/>
    <w:basedOn w:val="Normln"/>
    <w:link w:val="deksdatemChar"/>
    <w:qFormat/>
    <w:rsid w:val="00BC0EF1"/>
    <w:pPr>
      <w:spacing w:after="640" w:line="276" w:lineRule="auto"/>
      <w:jc w:val="right"/>
    </w:pPr>
  </w:style>
  <w:style w:type="paragraph" w:styleId="Zhlav">
    <w:name w:val="header"/>
    <w:basedOn w:val="Normln"/>
    <w:link w:val="Zhlav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Standardnpsmoodstavce"/>
    <w:link w:val="deksdatem"/>
    <w:rsid w:val="00BC0EF1"/>
    <w:rPr>
      <w:rFonts w:ascii="Arial" w:hAnsi="Arial"/>
      <w:color w:val="000D4D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F827BA"/>
    <w:rPr>
      <w:rFonts w:ascii="Mont Light" w:hAnsi="Mont Light"/>
      <w:sz w:val="20"/>
    </w:rPr>
  </w:style>
  <w:style w:type="paragraph" w:styleId="Zpat">
    <w:name w:val="footer"/>
    <w:basedOn w:val="Normln"/>
    <w:link w:val="Zpat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Standardnpsmoodstavce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Standardnpsmoodstavce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Standardnpsmoodstavce"/>
    <w:rsid w:val="00C858D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858DC"/>
    <w:rPr>
      <w:vertAlign w:val="superscript"/>
    </w:rPr>
  </w:style>
  <w:style w:type="paragraph" w:styleId="Revize">
    <w:name w:val="Revision"/>
    <w:hidden/>
    <w:uiPriority w:val="99"/>
    <w:semiHidden/>
    <w:rsid w:val="004E64DE"/>
    <w:pPr>
      <w:spacing w:after="0" w:line="240" w:lineRule="auto"/>
    </w:pPr>
    <w:rPr>
      <w:rFonts w:ascii="Century Gothic" w:hAnsi="Century Gothic"/>
      <w:color w:val="023444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5B9E95-5AC1-445A-8D20-E8017EF00685}">
  <ds:schemaRefs>
    <ds:schemaRef ds:uri="http://schemas.microsoft.com/office/infopath/2007/PartnerControls"/>
    <ds:schemaRef ds:uri="http://schemas.openxmlformats.org/package/2006/metadata/core-properties"/>
    <ds:schemaRef ds:uri="5c075d65-3e58-4f66-b97f-b1089f7f4cf0"/>
    <ds:schemaRef ds:uri="http://www.w3.org/XML/1998/namespace"/>
    <ds:schemaRef ds:uri="http://purl.org/dc/dcmitype/"/>
    <ds:schemaRef ds:uri="http://purl.org/dc/elements/1.1/"/>
    <ds:schemaRef ds:uri="d7ae0baf-0c4c-4fd6-9b97-abdacf91fa46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Pája</dc:creator>
  <cp:keywords/>
  <dc:description/>
  <cp:lastModifiedBy>Rychnovský Jan</cp:lastModifiedBy>
  <cp:revision>2</cp:revision>
  <cp:lastPrinted>2020-07-12T13:37:00Z</cp:lastPrinted>
  <dcterms:created xsi:type="dcterms:W3CDTF">2023-03-17T13:21:00Z</dcterms:created>
  <dcterms:modified xsi:type="dcterms:W3CDTF">2023-03-17T13:21:00Z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</Properties>
</file>